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DF9" w:rsidRPr="00B52DE0" w:rsidRDefault="00371DF9" w:rsidP="00054947">
      <w:pPr>
        <w:rPr>
          <w:rFonts w:ascii="仿宋_GB2312" w:eastAsia="仿宋_GB2312"/>
          <w:sz w:val="28"/>
          <w:szCs w:val="28"/>
        </w:rPr>
      </w:pPr>
      <w:r w:rsidRPr="00B52DE0">
        <w:rPr>
          <w:rFonts w:ascii="仿宋_GB2312" w:eastAsia="仿宋_GB2312" w:hint="eastAsia"/>
          <w:sz w:val="28"/>
          <w:szCs w:val="28"/>
        </w:rPr>
        <w:t>走出去战略科技成果转化项目</w:t>
      </w:r>
    </w:p>
    <w:p w:rsidR="00B52DE0" w:rsidRPr="00B52DE0" w:rsidRDefault="00B52DE0" w:rsidP="00054947">
      <w:pPr>
        <w:jc w:val="center"/>
        <w:rPr>
          <w:rFonts w:ascii="仿宋_GB2312" w:eastAsia="仿宋_GB2312"/>
          <w:b/>
          <w:sz w:val="44"/>
          <w:szCs w:val="44"/>
          <w:u w:val="single"/>
        </w:rPr>
      </w:pPr>
      <w:r w:rsidRPr="00B52DE0">
        <w:rPr>
          <w:rFonts w:ascii="仿宋_GB2312" w:eastAsia="仿宋_GB2312" w:hint="eastAsia"/>
          <w:b/>
          <w:sz w:val="44"/>
          <w:szCs w:val="44"/>
          <w:u w:val="single"/>
        </w:rPr>
        <w:t>智能</w:t>
      </w:r>
      <w:r w:rsidR="00371DF9" w:rsidRPr="00B52DE0">
        <w:rPr>
          <w:rFonts w:ascii="仿宋_GB2312" w:eastAsia="仿宋_GB2312" w:hint="eastAsia"/>
          <w:b/>
          <w:sz w:val="44"/>
          <w:szCs w:val="44"/>
          <w:u w:val="single"/>
        </w:rPr>
        <w:t>电网调度</w:t>
      </w:r>
      <w:r w:rsidRPr="00B52DE0">
        <w:rPr>
          <w:rFonts w:ascii="仿宋_GB2312" w:eastAsia="仿宋_GB2312" w:hint="eastAsia"/>
          <w:b/>
          <w:sz w:val="44"/>
          <w:szCs w:val="44"/>
          <w:u w:val="single"/>
        </w:rPr>
        <w:t>优化运行</w:t>
      </w:r>
      <w:r w:rsidR="00371DF9" w:rsidRPr="00B52DE0">
        <w:rPr>
          <w:rFonts w:ascii="仿宋_GB2312" w:eastAsia="仿宋_GB2312" w:hint="eastAsia"/>
          <w:b/>
          <w:sz w:val="44"/>
          <w:szCs w:val="44"/>
          <w:u w:val="single"/>
        </w:rPr>
        <w:t>与控制技术</w:t>
      </w:r>
    </w:p>
    <w:p w:rsidR="00371DF9" w:rsidRPr="00B52DE0" w:rsidRDefault="00371DF9" w:rsidP="00054947">
      <w:pPr>
        <w:jc w:val="center"/>
        <w:rPr>
          <w:rFonts w:ascii="仿宋_GB2312" w:eastAsia="仿宋_GB2312"/>
          <w:b/>
          <w:sz w:val="44"/>
          <w:szCs w:val="44"/>
          <w:u w:val="single"/>
        </w:rPr>
      </w:pPr>
      <w:r w:rsidRPr="00B52DE0">
        <w:rPr>
          <w:rFonts w:ascii="仿宋_GB2312" w:eastAsia="仿宋_GB2312" w:hint="eastAsia"/>
          <w:b/>
          <w:sz w:val="44"/>
          <w:szCs w:val="44"/>
          <w:u w:val="single"/>
        </w:rPr>
        <w:t>国际化研发及产业化</w:t>
      </w:r>
    </w:p>
    <w:p w:rsidR="00371DF9" w:rsidRPr="00B52DE0" w:rsidRDefault="00B52DE0" w:rsidP="00054947">
      <w:pPr>
        <w:pStyle w:val="a3"/>
        <w:numPr>
          <w:ilvl w:val="0"/>
          <w:numId w:val="3"/>
        </w:numPr>
        <w:spacing w:beforeLines="100" w:afterLines="50"/>
        <w:ind w:firstLineChars="0"/>
        <w:jc w:val="both"/>
        <w:rPr>
          <w:rFonts w:ascii="仿宋_GB2312" w:eastAsia="仿宋_GB2312"/>
          <w:b/>
          <w:sz w:val="32"/>
          <w:szCs w:val="32"/>
        </w:rPr>
      </w:pPr>
      <w:r w:rsidRPr="00B52DE0">
        <w:rPr>
          <w:rFonts w:ascii="仿宋_GB2312" w:eastAsia="仿宋_GB2312" w:hint="eastAsia"/>
          <w:b/>
          <w:sz w:val="32"/>
          <w:szCs w:val="32"/>
        </w:rPr>
        <w:t>基本情况</w:t>
      </w:r>
    </w:p>
    <w:p w:rsidR="00371DF9" w:rsidRPr="00B52DE0" w:rsidRDefault="00371DF9" w:rsidP="00054947">
      <w:pPr>
        <w:pStyle w:val="a3"/>
        <w:numPr>
          <w:ilvl w:val="0"/>
          <w:numId w:val="6"/>
        </w:numPr>
        <w:tabs>
          <w:tab w:val="left" w:pos="851"/>
        </w:tabs>
        <w:spacing w:beforeLines="100" w:afterLines="50"/>
        <w:ind w:firstLineChars="0" w:firstLine="1"/>
        <w:jc w:val="both"/>
        <w:rPr>
          <w:rFonts w:ascii="仿宋_GB2312" w:eastAsia="仿宋_GB2312"/>
          <w:b/>
          <w:sz w:val="32"/>
          <w:szCs w:val="32"/>
        </w:rPr>
      </w:pPr>
      <w:r w:rsidRPr="00B52DE0">
        <w:rPr>
          <w:rFonts w:ascii="仿宋_GB2312" w:eastAsia="仿宋_GB2312" w:hint="eastAsia"/>
          <w:b/>
          <w:sz w:val="32"/>
          <w:szCs w:val="32"/>
        </w:rPr>
        <w:t>背景</w:t>
      </w:r>
    </w:p>
    <w:p w:rsidR="00371DF9" w:rsidRPr="00B52DE0" w:rsidRDefault="00371DF9"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近年来，化石能源的日趋枯竭和环境问题日益突出，国内外风电、太阳能等间歇能源的高速发展。然而由于间歇能源的不确定性、反调峰特性的影响以及电网接纳能力不足，在新能源资源丰富的地区仍存在高比例弃风弃光现象，电网调运行迫切需要更有效的技术支撑手段来提高新能源消纳能力。</w:t>
      </w:r>
    </w:p>
    <w:p w:rsidR="00371DF9" w:rsidRPr="00B52DE0" w:rsidRDefault="00371DF9"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本项目目标产品为支撑大电网多元能源互补优化调度与闭环控制应用需求的智能电网调度</w:t>
      </w:r>
      <w:r w:rsidR="00B52DE0" w:rsidRPr="00B52DE0">
        <w:rPr>
          <w:rFonts w:ascii="仿宋_GB2312" w:eastAsia="仿宋_GB2312" w:hint="eastAsia"/>
          <w:sz w:val="32"/>
          <w:szCs w:val="32"/>
        </w:rPr>
        <w:t>优化运行与</w:t>
      </w:r>
      <w:r w:rsidRPr="00B52DE0">
        <w:rPr>
          <w:rFonts w:ascii="仿宋_GB2312" w:eastAsia="仿宋_GB2312" w:hint="eastAsia"/>
          <w:sz w:val="32"/>
          <w:szCs w:val="32"/>
        </w:rPr>
        <w:t>控制系统</w:t>
      </w:r>
      <w:r w:rsidR="00B52DE0" w:rsidRPr="00B52DE0">
        <w:rPr>
          <w:rFonts w:ascii="仿宋_GB2312" w:eastAsia="仿宋_GB2312" w:hint="eastAsia"/>
          <w:sz w:val="32"/>
          <w:szCs w:val="32"/>
        </w:rPr>
        <w:t>，</w:t>
      </w:r>
      <w:r w:rsidRPr="00B52DE0">
        <w:rPr>
          <w:rFonts w:ascii="仿宋_GB2312" w:eastAsia="仿宋_GB2312" w:hint="eastAsia"/>
          <w:sz w:val="32"/>
          <w:szCs w:val="32"/>
        </w:rPr>
        <w:t>考虑风、光、水、火、储能等多元能源之间相互协调，包括涵盖长、中、短多周期一体化滚动递进的发电计划优化编制软件和实时自动发电控制（AGC）软件，并通过采集监视及评估分析反馈形成完整的闭环控制系统。按照国家电网公司所提倡的全球能源互联网战略构想，以泛在智能电网为基础，提高电网对清洁能源的消纳水平，保证电网安全稳定运行，通过“两个替代”，即能源开发利用上的清洁能源替代，能源消费上的电能替代，实现世界能源的优化配置和消费。</w:t>
      </w:r>
    </w:p>
    <w:p w:rsidR="00371DF9" w:rsidRPr="00B52DE0" w:rsidRDefault="00371DF9" w:rsidP="00054947">
      <w:pPr>
        <w:pStyle w:val="a3"/>
        <w:numPr>
          <w:ilvl w:val="0"/>
          <w:numId w:val="6"/>
        </w:numPr>
        <w:tabs>
          <w:tab w:val="left" w:pos="851"/>
        </w:tabs>
        <w:spacing w:beforeLines="100" w:afterLines="50"/>
        <w:ind w:firstLineChars="0" w:firstLine="1"/>
        <w:jc w:val="both"/>
        <w:rPr>
          <w:rFonts w:ascii="仿宋_GB2312" w:eastAsia="仿宋_GB2312"/>
          <w:b/>
          <w:sz w:val="32"/>
          <w:szCs w:val="32"/>
        </w:rPr>
      </w:pPr>
      <w:r w:rsidRPr="00B52DE0">
        <w:rPr>
          <w:rFonts w:ascii="仿宋_GB2312" w:eastAsia="仿宋_GB2312" w:hint="eastAsia"/>
          <w:b/>
          <w:sz w:val="32"/>
          <w:szCs w:val="32"/>
        </w:rPr>
        <w:t>研究基础</w:t>
      </w:r>
    </w:p>
    <w:p w:rsidR="00371DF9" w:rsidRPr="00B52DE0" w:rsidRDefault="00371DF9"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本项目核心技术成果主要来源于多项政府及国家电网公司的科技项目，包括国家自然科学基金面上项目“含大规模间歇性电源的区域电网多源互补调度与控制方法”和多项国家863计划项目等重大科技项目及示范工程应用。</w:t>
      </w:r>
    </w:p>
    <w:p w:rsidR="00371DF9" w:rsidRPr="00B52DE0" w:rsidRDefault="00B52DE0"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lastRenderedPageBreak/>
        <w:t>智能电网调度优化运行与控制</w:t>
      </w:r>
      <w:r w:rsidR="00371DF9" w:rsidRPr="00B52DE0">
        <w:rPr>
          <w:rFonts w:ascii="仿宋_GB2312" w:eastAsia="仿宋_GB2312" w:hint="eastAsia"/>
          <w:sz w:val="32"/>
          <w:szCs w:val="32"/>
        </w:rPr>
        <w:t>核心关键技术的研究成果已申请发明专利22项，授权3项；发表国内外核心期刊论文13篇；</w:t>
      </w:r>
      <w:r w:rsidRPr="00B52DE0">
        <w:rPr>
          <w:rFonts w:ascii="仿宋_GB2312" w:eastAsia="仿宋_GB2312" w:hint="eastAsia"/>
          <w:sz w:val="32"/>
          <w:szCs w:val="32"/>
        </w:rPr>
        <w:t>国内</w:t>
      </w:r>
      <w:r w:rsidR="00371DF9" w:rsidRPr="00B52DE0">
        <w:rPr>
          <w:rFonts w:ascii="仿宋_GB2312" w:eastAsia="仿宋_GB2312" w:hint="eastAsia"/>
          <w:sz w:val="32"/>
          <w:szCs w:val="32"/>
        </w:rPr>
        <w:t>软件著作权登记</w:t>
      </w:r>
      <w:r w:rsidRPr="00B52DE0">
        <w:rPr>
          <w:rFonts w:ascii="仿宋_GB2312" w:eastAsia="仿宋_GB2312" w:hint="eastAsia"/>
          <w:sz w:val="32"/>
          <w:szCs w:val="32"/>
        </w:rPr>
        <w:t>6</w:t>
      </w:r>
      <w:r w:rsidR="00371DF9" w:rsidRPr="00B52DE0">
        <w:rPr>
          <w:rFonts w:ascii="仿宋_GB2312" w:eastAsia="仿宋_GB2312" w:hint="eastAsia"/>
          <w:sz w:val="32"/>
          <w:szCs w:val="32"/>
        </w:rPr>
        <w:t>项</w:t>
      </w:r>
      <w:r w:rsidRPr="00B52DE0">
        <w:rPr>
          <w:rFonts w:ascii="仿宋_GB2312" w:eastAsia="仿宋_GB2312" w:hint="eastAsia"/>
          <w:sz w:val="32"/>
          <w:szCs w:val="32"/>
        </w:rPr>
        <w:t>。</w:t>
      </w:r>
      <w:r w:rsidR="00371DF9" w:rsidRPr="00B52DE0">
        <w:rPr>
          <w:rFonts w:ascii="仿宋_GB2312" w:eastAsia="仿宋_GB2312" w:hint="eastAsia"/>
          <w:sz w:val="32"/>
          <w:szCs w:val="32"/>
        </w:rPr>
        <w:t>研究成果累计实现销售收入1.5亿元，</w:t>
      </w:r>
      <w:r w:rsidRPr="00B52DE0">
        <w:rPr>
          <w:rFonts w:ascii="仿宋_GB2312" w:eastAsia="仿宋_GB2312" w:hint="eastAsia"/>
          <w:sz w:val="32"/>
          <w:szCs w:val="32"/>
        </w:rPr>
        <w:t>率先</w:t>
      </w:r>
      <w:r w:rsidR="00371DF9" w:rsidRPr="00B52DE0">
        <w:rPr>
          <w:rFonts w:ascii="仿宋_GB2312" w:eastAsia="仿宋_GB2312" w:hint="eastAsia"/>
          <w:sz w:val="32"/>
          <w:szCs w:val="32"/>
        </w:rPr>
        <w:t>在国家电网华北分中心上线运行，并推广到西北、宁夏等网省级电网调控中心，显著提高新能源消纳水平。据估算，仅2013年京津唐电网比前一年多消纳风电9亿千瓦时。</w:t>
      </w:r>
    </w:p>
    <w:p w:rsidR="00371DF9" w:rsidRPr="00B52DE0" w:rsidRDefault="00371DF9"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研究成果</w:t>
      </w:r>
      <w:r w:rsidR="00B52DE0" w:rsidRPr="00B52DE0">
        <w:rPr>
          <w:rFonts w:ascii="仿宋_GB2312" w:eastAsia="仿宋_GB2312" w:hint="eastAsia"/>
          <w:sz w:val="32"/>
          <w:szCs w:val="32"/>
        </w:rPr>
        <w:t>“大规模间歇能源接入下电网互补协调优化与闭环控制技术研究与应用”</w:t>
      </w:r>
      <w:r w:rsidRPr="00B52DE0">
        <w:rPr>
          <w:rFonts w:ascii="仿宋_GB2312" w:eastAsia="仿宋_GB2312" w:hint="eastAsia"/>
          <w:sz w:val="32"/>
          <w:szCs w:val="32"/>
        </w:rPr>
        <w:t>通过了中国电机工程学会</w:t>
      </w:r>
      <w:r w:rsidR="00054947">
        <w:rPr>
          <w:rFonts w:ascii="仿宋_GB2312" w:eastAsia="仿宋_GB2312" w:hint="eastAsia"/>
          <w:sz w:val="32"/>
          <w:szCs w:val="32"/>
        </w:rPr>
        <w:t>以及</w:t>
      </w:r>
      <w:r w:rsidRPr="00B52DE0">
        <w:rPr>
          <w:rFonts w:ascii="仿宋_GB2312" w:eastAsia="仿宋_GB2312" w:hint="eastAsia"/>
          <w:sz w:val="32"/>
          <w:szCs w:val="32"/>
        </w:rPr>
        <w:t>江苏省经济和信息化委员会组织的鉴定，“达到国际领先水平”</w:t>
      </w:r>
      <w:r w:rsidR="00B52DE0" w:rsidRPr="00B52DE0">
        <w:rPr>
          <w:rFonts w:ascii="仿宋_GB2312" w:eastAsia="仿宋_GB2312" w:hint="eastAsia"/>
          <w:sz w:val="32"/>
          <w:szCs w:val="32"/>
        </w:rPr>
        <w:t>，</w:t>
      </w:r>
      <w:r w:rsidR="00054947">
        <w:rPr>
          <w:rFonts w:ascii="仿宋_GB2312" w:eastAsia="仿宋_GB2312" w:hint="eastAsia"/>
          <w:sz w:val="32"/>
          <w:szCs w:val="32"/>
        </w:rPr>
        <w:t>并已</w:t>
      </w:r>
      <w:r w:rsidR="00B52DE0" w:rsidRPr="00B52DE0">
        <w:rPr>
          <w:rFonts w:ascii="仿宋_GB2312" w:eastAsia="仿宋_GB2312" w:hint="eastAsia"/>
          <w:sz w:val="32"/>
          <w:szCs w:val="32"/>
        </w:rPr>
        <w:t>获得</w:t>
      </w:r>
      <w:r w:rsidRPr="00B52DE0">
        <w:rPr>
          <w:rFonts w:ascii="仿宋_GB2312" w:eastAsia="仿宋_GB2312" w:hint="eastAsia"/>
          <w:sz w:val="32"/>
          <w:szCs w:val="32"/>
        </w:rPr>
        <w:t>2015年度南京市科技进步一等奖。</w:t>
      </w:r>
    </w:p>
    <w:p w:rsidR="00371DF9" w:rsidRPr="00B52DE0" w:rsidRDefault="00B52DE0" w:rsidP="00054947">
      <w:pPr>
        <w:pStyle w:val="a3"/>
        <w:numPr>
          <w:ilvl w:val="0"/>
          <w:numId w:val="3"/>
        </w:numPr>
        <w:spacing w:beforeLines="100" w:afterLines="50"/>
        <w:ind w:firstLineChars="0"/>
        <w:jc w:val="both"/>
        <w:rPr>
          <w:rFonts w:ascii="仿宋_GB2312" w:eastAsia="仿宋_GB2312"/>
          <w:b/>
          <w:sz w:val="32"/>
          <w:szCs w:val="32"/>
        </w:rPr>
      </w:pPr>
      <w:r w:rsidRPr="00B52DE0">
        <w:rPr>
          <w:rFonts w:ascii="仿宋_GB2312" w:eastAsia="仿宋_GB2312" w:hint="eastAsia"/>
          <w:b/>
          <w:sz w:val="32"/>
          <w:szCs w:val="32"/>
        </w:rPr>
        <w:t>总体</w:t>
      </w:r>
      <w:r w:rsidR="00371DF9" w:rsidRPr="00B52DE0">
        <w:rPr>
          <w:rFonts w:ascii="仿宋_GB2312" w:eastAsia="仿宋_GB2312" w:hint="eastAsia"/>
          <w:b/>
          <w:sz w:val="32"/>
          <w:szCs w:val="32"/>
        </w:rPr>
        <w:t>目标</w:t>
      </w:r>
    </w:p>
    <w:p w:rsidR="00371DF9" w:rsidRPr="00B52DE0" w:rsidRDefault="00054947"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本项目</w:t>
      </w:r>
      <w:r>
        <w:rPr>
          <w:rFonts w:ascii="仿宋_GB2312" w:eastAsia="仿宋_GB2312" w:hint="eastAsia"/>
          <w:sz w:val="32"/>
          <w:szCs w:val="32"/>
        </w:rPr>
        <w:t>总体目标是</w:t>
      </w:r>
      <w:r w:rsidR="00371DF9" w:rsidRPr="00B52DE0">
        <w:rPr>
          <w:rFonts w:ascii="仿宋_GB2312" w:eastAsia="仿宋_GB2312" w:hint="eastAsia"/>
          <w:sz w:val="32"/>
          <w:szCs w:val="32"/>
        </w:rPr>
        <w:t>在</w:t>
      </w:r>
      <w:r w:rsidR="00B52DE0" w:rsidRPr="00B52DE0">
        <w:rPr>
          <w:rFonts w:ascii="仿宋_GB2312" w:eastAsia="仿宋_GB2312" w:hint="eastAsia"/>
          <w:sz w:val="32"/>
          <w:szCs w:val="32"/>
        </w:rPr>
        <w:t>继续做好智能电网调度优化运行与控制</w:t>
      </w:r>
      <w:r w:rsidR="00371DF9" w:rsidRPr="00B52DE0">
        <w:rPr>
          <w:rFonts w:ascii="仿宋_GB2312" w:eastAsia="仿宋_GB2312" w:hint="eastAsia"/>
          <w:sz w:val="32"/>
          <w:szCs w:val="32"/>
        </w:rPr>
        <w:t>系列产品</w:t>
      </w:r>
      <w:r w:rsidR="00B52DE0" w:rsidRPr="00B52DE0">
        <w:rPr>
          <w:rFonts w:ascii="仿宋_GB2312" w:eastAsia="仿宋_GB2312" w:hint="eastAsia"/>
          <w:sz w:val="32"/>
          <w:szCs w:val="32"/>
        </w:rPr>
        <w:t>的实用化和推广的基础上</w:t>
      </w:r>
      <w:r w:rsidR="00371DF9" w:rsidRPr="00B52DE0">
        <w:rPr>
          <w:rFonts w:ascii="仿宋_GB2312" w:eastAsia="仿宋_GB2312" w:hint="eastAsia"/>
          <w:sz w:val="32"/>
          <w:szCs w:val="32"/>
        </w:rPr>
        <w:t>，积极进行</w:t>
      </w:r>
      <w:r>
        <w:rPr>
          <w:rFonts w:ascii="仿宋_GB2312" w:eastAsia="仿宋_GB2312" w:hint="eastAsia"/>
          <w:sz w:val="32"/>
          <w:szCs w:val="32"/>
        </w:rPr>
        <w:t>多个</w:t>
      </w:r>
      <w:r w:rsidR="00371DF9" w:rsidRPr="00B52DE0">
        <w:rPr>
          <w:rFonts w:ascii="仿宋_GB2312" w:eastAsia="仿宋_GB2312" w:hint="eastAsia"/>
          <w:sz w:val="32"/>
          <w:szCs w:val="32"/>
        </w:rPr>
        <w:t>软件产品的国际化研发和海外相关知识产权布局，密切跟踪</w:t>
      </w:r>
      <w:r w:rsidR="00B52DE0" w:rsidRPr="00B52DE0">
        <w:rPr>
          <w:rFonts w:ascii="仿宋_GB2312" w:eastAsia="仿宋_GB2312" w:hint="eastAsia"/>
          <w:sz w:val="32"/>
          <w:szCs w:val="32"/>
        </w:rPr>
        <w:t>并利用</w:t>
      </w:r>
      <w:r w:rsidR="00371DF9" w:rsidRPr="00B52DE0">
        <w:rPr>
          <w:rFonts w:ascii="仿宋_GB2312" w:eastAsia="仿宋_GB2312" w:hint="eastAsia"/>
          <w:sz w:val="32"/>
          <w:szCs w:val="32"/>
        </w:rPr>
        <w:t>全球能源互联网发展的契机，寻求国际合作，利用国家电网公司与葡萄牙、菲律宾、巴西、南非等国外电网已建立的联系，</w:t>
      </w:r>
      <w:r w:rsidR="00B52DE0" w:rsidRPr="00B52DE0">
        <w:rPr>
          <w:rFonts w:ascii="仿宋_GB2312" w:eastAsia="仿宋_GB2312" w:hint="eastAsia"/>
          <w:sz w:val="32"/>
          <w:szCs w:val="32"/>
        </w:rPr>
        <w:t>发挥</w:t>
      </w:r>
      <w:r w:rsidR="00371DF9" w:rsidRPr="00B52DE0">
        <w:rPr>
          <w:rFonts w:ascii="仿宋_GB2312" w:eastAsia="仿宋_GB2312" w:hint="eastAsia"/>
          <w:sz w:val="32"/>
          <w:szCs w:val="32"/>
        </w:rPr>
        <w:t>国内特高压坚强智能电网及大规模新能源相关领域的领先优势，</w:t>
      </w:r>
      <w:r w:rsidR="00B52DE0" w:rsidRPr="00B52DE0">
        <w:rPr>
          <w:rFonts w:ascii="仿宋_GB2312" w:eastAsia="仿宋_GB2312" w:hint="eastAsia"/>
          <w:sz w:val="32"/>
          <w:szCs w:val="32"/>
        </w:rPr>
        <w:t>积极</w:t>
      </w:r>
      <w:r w:rsidR="00371DF9" w:rsidRPr="00B52DE0">
        <w:rPr>
          <w:rFonts w:ascii="仿宋_GB2312" w:eastAsia="仿宋_GB2312" w:hint="eastAsia"/>
          <w:sz w:val="32"/>
          <w:szCs w:val="32"/>
        </w:rPr>
        <w:t>进入国际市场，参与国际竞争，形成新的</w:t>
      </w:r>
      <w:r w:rsidR="00B52DE0" w:rsidRPr="00B52DE0">
        <w:rPr>
          <w:rFonts w:ascii="仿宋_GB2312" w:eastAsia="仿宋_GB2312" w:hint="eastAsia"/>
          <w:sz w:val="32"/>
          <w:szCs w:val="32"/>
        </w:rPr>
        <w:t>产业发展利润</w:t>
      </w:r>
      <w:r w:rsidR="00371DF9" w:rsidRPr="00B52DE0">
        <w:rPr>
          <w:rFonts w:ascii="仿宋_GB2312" w:eastAsia="仿宋_GB2312" w:hint="eastAsia"/>
          <w:sz w:val="32"/>
          <w:szCs w:val="32"/>
        </w:rPr>
        <w:t>增长点。</w:t>
      </w:r>
    </w:p>
    <w:p w:rsidR="00371DF9" w:rsidRPr="00B52DE0" w:rsidRDefault="00B52DE0" w:rsidP="00054947">
      <w:pPr>
        <w:pStyle w:val="a3"/>
        <w:numPr>
          <w:ilvl w:val="0"/>
          <w:numId w:val="3"/>
        </w:numPr>
        <w:spacing w:beforeLines="100" w:afterLines="50"/>
        <w:ind w:firstLineChars="0"/>
        <w:jc w:val="both"/>
        <w:rPr>
          <w:rFonts w:ascii="仿宋_GB2312" w:eastAsia="仿宋_GB2312"/>
          <w:b/>
          <w:sz w:val="32"/>
          <w:szCs w:val="32"/>
        </w:rPr>
      </w:pPr>
      <w:r w:rsidRPr="00B52DE0">
        <w:rPr>
          <w:rFonts w:ascii="仿宋_GB2312" w:eastAsia="仿宋_GB2312" w:hint="eastAsia"/>
          <w:b/>
          <w:sz w:val="32"/>
          <w:szCs w:val="32"/>
        </w:rPr>
        <w:t>主要</w:t>
      </w:r>
      <w:r w:rsidR="00371DF9" w:rsidRPr="00B52DE0">
        <w:rPr>
          <w:rFonts w:ascii="仿宋_GB2312" w:eastAsia="仿宋_GB2312" w:hint="eastAsia"/>
          <w:b/>
          <w:sz w:val="32"/>
          <w:szCs w:val="32"/>
        </w:rPr>
        <w:t>内容</w:t>
      </w:r>
    </w:p>
    <w:p w:rsidR="00B52DE0" w:rsidRPr="00B52DE0" w:rsidRDefault="00371DF9" w:rsidP="00054947">
      <w:pPr>
        <w:pStyle w:val="a4"/>
        <w:overflowPunct w:val="0"/>
        <w:snapToGrid w:val="0"/>
        <w:spacing w:before="86" w:beforeAutospacing="0" w:after="0" w:afterAutospacing="0"/>
        <w:ind w:firstLineChars="200" w:firstLine="643"/>
        <w:jc w:val="both"/>
        <w:textAlignment w:val="baseline"/>
        <w:rPr>
          <w:rFonts w:ascii="仿宋_GB2312" w:eastAsia="仿宋_GB2312"/>
          <w:b/>
          <w:sz w:val="32"/>
          <w:szCs w:val="32"/>
        </w:rPr>
      </w:pPr>
      <w:r w:rsidRPr="00B52DE0">
        <w:rPr>
          <w:rFonts w:ascii="仿宋_GB2312" w:eastAsia="仿宋_GB2312" w:hint="eastAsia"/>
          <w:b/>
          <w:sz w:val="32"/>
          <w:szCs w:val="32"/>
        </w:rPr>
        <w:t>（1</w:t>
      </w:r>
      <w:r w:rsidR="00054947">
        <w:rPr>
          <w:rFonts w:ascii="仿宋_GB2312" w:eastAsia="仿宋_GB2312" w:hint="eastAsia"/>
          <w:b/>
          <w:sz w:val="32"/>
          <w:szCs w:val="32"/>
        </w:rPr>
        <w:t>）具有广泛适应能力的国际化</w:t>
      </w:r>
      <w:r w:rsidR="00B52DE0" w:rsidRPr="00B52DE0">
        <w:rPr>
          <w:rFonts w:ascii="仿宋_GB2312" w:eastAsia="仿宋_GB2312" w:hint="eastAsia"/>
          <w:b/>
          <w:sz w:val="32"/>
          <w:szCs w:val="32"/>
        </w:rPr>
        <w:t>改造</w:t>
      </w:r>
    </w:p>
    <w:p w:rsidR="00B52DE0" w:rsidRPr="00B52DE0" w:rsidRDefault="00B52DE0"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针对国际化面临的多语言和时区问题，</w:t>
      </w:r>
      <w:r w:rsidR="00371DF9" w:rsidRPr="00B52DE0">
        <w:rPr>
          <w:rFonts w:ascii="仿宋_GB2312" w:eastAsia="仿宋_GB2312" w:hint="eastAsia"/>
          <w:sz w:val="32"/>
          <w:szCs w:val="32"/>
        </w:rPr>
        <w:t>研究</w:t>
      </w:r>
      <w:r w:rsidRPr="00B52DE0">
        <w:rPr>
          <w:rFonts w:ascii="仿宋_GB2312" w:eastAsia="仿宋_GB2312" w:hint="eastAsia"/>
          <w:sz w:val="32"/>
          <w:szCs w:val="32"/>
        </w:rPr>
        <w:t>具有广泛适应能力的</w:t>
      </w:r>
      <w:r w:rsidR="00371DF9" w:rsidRPr="00B52DE0">
        <w:rPr>
          <w:rFonts w:ascii="仿宋_GB2312" w:eastAsia="仿宋_GB2312" w:hint="eastAsia"/>
          <w:sz w:val="32"/>
          <w:szCs w:val="32"/>
        </w:rPr>
        <w:t>软件</w:t>
      </w:r>
      <w:r>
        <w:rPr>
          <w:rFonts w:ascii="仿宋_GB2312" w:eastAsia="仿宋_GB2312" w:hint="eastAsia"/>
          <w:sz w:val="32"/>
          <w:szCs w:val="32"/>
        </w:rPr>
        <w:t>产品</w:t>
      </w:r>
      <w:r w:rsidR="00371DF9" w:rsidRPr="00B52DE0">
        <w:rPr>
          <w:rFonts w:ascii="仿宋_GB2312" w:eastAsia="仿宋_GB2312" w:hint="eastAsia"/>
          <w:sz w:val="32"/>
          <w:szCs w:val="32"/>
        </w:rPr>
        <w:t>国际化</w:t>
      </w:r>
      <w:r>
        <w:rPr>
          <w:rFonts w:ascii="仿宋_GB2312" w:eastAsia="仿宋_GB2312" w:hint="eastAsia"/>
          <w:sz w:val="32"/>
          <w:szCs w:val="32"/>
        </w:rPr>
        <w:t>的通用解决</w:t>
      </w:r>
      <w:r w:rsidR="00371DF9" w:rsidRPr="00B52DE0">
        <w:rPr>
          <w:rFonts w:ascii="仿宋_GB2312" w:eastAsia="仿宋_GB2312" w:hint="eastAsia"/>
          <w:sz w:val="32"/>
          <w:szCs w:val="32"/>
        </w:rPr>
        <w:t>方案，</w:t>
      </w:r>
      <w:r w:rsidRPr="00B52DE0">
        <w:rPr>
          <w:rFonts w:ascii="仿宋_GB2312" w:eastAsia="仿宋_GB2312" w:hint="eastAsia"/>
          <w:sz w:val="32"/>
          <w:szCs w:val="32"/>
        </w:rPr>
        <w:t>能够适应汉语、英语、法语、葡萄牙语、西班牙语、德语、阿拉伯语、俄语等多种潜在合作项目语言环境</w:t>
      </w:r>
      <w:r>
        <w:rPr>
          <w:rFonts w:ascii="仿宋_GB2312" w:eastAsia="仿宋_GB2312" w:hint="eastAsia"/>
          <w:sz w:val="32"/>
          <w:szCs w:val="32"/>
        </w:rPr>
        <w:t>和</w:t>
      </w:r>
      <w:r w:rsidRPr="00B52DE0">
        <w:rPr>
          <w:rFonts w:ascii="仿宋_GB2312" w:eastAsia="仿宋_GB2312" w:hint="eastAsia"/>
          <w:sz w:val="32"/>
          <w:szCs w:val="32"/>
        </w:rPr>
        <w:t>多种夏时制变换方式的业务环境</w:t>
      </w:r>
      <w:r>
        <w:rPr>
          <w:rFonts w:ascii="仿宋_GB2312" w:eastAsia="仿宋_GB2312" w:hint="eastAsia"/>
          <w:sz w:val="32"/>
          <w:szCs w:val="32"/>
        </w:rPr>
        <w:t>，彻底解决</w:t>
      </w:r>
      <w:r w:rsidRPr="00B52DE0">
        <w:rPr>
          <w:rFonts w:ascii="仿宋_GB2312" w:eastAsia="仿宋_GB2312" w:hint="eastAsia"/>
          <w:sz w:val="32"/>
          <w:szCs w:val="32"/>
        </w:rPr>
        <w:t>实时控制系统跨时区广域访问</w:t>
      </w:r>
      <w:r>
        <w:rPr>
          <w:rFonts w:ascii="仿宋_GB2312" w:eastAsia="仿宋_GB2312" w:hint="eastAsia"/>
          <w:sz w:val="32"/>
          <w:szCs w:val="32"/>
        </w:rPr>
        <w:t>的</w:t>
      </w:r>
      <w:r w:rsidRPr="00B52DE0">
        <w:rPr>
          <w:rFonts w:ascii="仿宋_GB2312" w:eastAsia="仿宋_GB2312" w:hint="eastAsia"/>
          <w:sz w:val="32"/>
          <w:szCs w:val="32"/>
        </w:rPr>
        <w:t>一致性问题。</w:t>
      </w:r>
    </w:p>
    <w:p w:rsidR="00371DF9" w:rsidRPr="00B52DE0" w:rsidRDefault="00B52DE0"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搭建软件国际化开发平台，完成</w:t>
      </w:r>
      <w:r>
        <w:rPr>
          <w:rFonts w:ascii="仿宋_GB2312" w:eastAsia="仿宋_GB2312" w:hint="eastAsia"/>
          <w:sz w:val="32"/>
          <w:szCs w:val="32"/>
        </w:rPr>
        <w:t>实时采集与监控类软件、</w:t>
      </w:r>
      <w:r w:rsidR="00371DF9" w:rsidRPr="00B52DE0">
        <w:rPr>
          <w:rFonts w:ascii="仿宋_GB2312" w:eastAsia="仿宋_GB2312" w:hint="eastAsia"/>
          <w:sz w:val="32"/>
          <w:szCs w:val="32"/>
        </w:rPr>
        <w:t>大规模间歇能源接入下电网多周期发电计划互补协调</w:t>
      </w:r>
      <w:r w:rsidR="00371DF9" w:rsidRPr="00B52DE0">
        <w:rPr>
          <w:rFonts w:ascii="仿宋_GB2312" w:eastAsia="仿宋_GB2312" w:hint="eastAsia"/>
          <w:sz w:val="32"/>
          <w:szCs w:val="32"/>
        </w:rPr>
        <w:lastRenderedPageBreak/>
        <w:t>优化软件、自动发电控制软件、量化评估分析软件及其相关配套</w:t>
      </w:r>
      <w:r>
        <w:rPr>
          <w:rFonts w:ascii="仿宋_GB2312" w:eastAsia="仿宋_GB2312" w:hint="eastAsia"/>
          <w:sz w:val="32"/>
          <w:szCs w:val="32"/>
        </w:rPr>
        <w:t>应用</w:t>
      </w:r>
      <w:r w:rsidR="00371DF9" w:rsidRPr="00B52DE0">
        <w:rPr>
          <w:rFonts w:ascii="仿宋_GB2312" w:eastAsia="仿宋_GB2312" w:hint="eastAsia"/>
          <w:sz w:val="32"/>
          <w:szCs w:val="32"/>
        </w:rPr>
        <w:t>软件功能的国际化改造，对</w:t>
      </w:r>
      <w:r w:rsidR="00054947">
        <w:rPr>
          <w:rFonts w:ascii="仿宋_GB2312" w:eastAsia="仿宋_GB2312" w:hint="eastAsia"/>
          <w:sz w:val="32"/>
          <w:szCs w:val="32"/>
        </w:rPr>
        <w:t>牵涉到的</w:t>
      </w:r>
      <w:r w:rsidR="00371DF9" w:rsidRPr="00B52DE0">
        <w:rPr>
          <w:rFonts w:ascii="仿宋_GB2312" w:eastAsia="仿宋_GB2312" w:hint="eastAsia"/>
          <w:sz w:val="32"/>
          <w:szCs w:val="32"/>
        </w:rPr>
        <w:t>核心关键技术知识产权进行国际化布局。</w:t>
      </w:r>
    </w:p>
    <w:p w:rsidR="00B52DE0" w:rsidRPr="00B52DE0" w:rsidRDefault="00371DF9" w:rsidP="00054947">
      <w:pPr>
        <w:pStyle w:val="a4"/>
        <w:overflowPunct w:val="0"/>
        <w:snapToGrid w:val="0"/>
        <w:spacing w:before="86" w:beforeAutospacing="0" w:after="0" w:afterAutospacing="0"/>
        <w:ind w:firstLineChars="200" w:firstLine="643"/>
        <w:jc w:val="both"/>
        <w:textAlignment w:val="baseline"/>
        <w:rPr>
          <w:rFonts w:ascii="仿宋_GB2312" w:eastAsia="仿宋_GB2312"/>
          <w:b/>
          <w:sz w:val="32"/>
          <w:szCs w:val="32"/>
        </w:rPr>
      </w:pPr>
      <w:r w:rsidRPr="00B52DE0">
        <w:rPr>
          <w:rFonts w:ascii="仿宋_GB2312" w:eastAsia="仿宋_GB2312" w:hint="eastAsia"/>
          <w:b/>
          <w:sz w:val="32"/>
          <w:szCs w:val="32"/>
        </w:rPr>
        <w:t>（2）</w:t>
      </w:r>
      <w:r w:rsidR="00B52DE0" w:rsidRPr="00B52DE0">
        <w:rPr>
          <w:rFonts w:ascii="仿宋_GB2312" w:eastAsia="仿宋_GB2312" w:hint="eastAsia"/>
          <w:b/>
          <w:sz w:val="32"/>
          <w:szCs w:val="32"/>
        </w:rPr>
        <w:t>智能电网调度优化运行与控制核心业务</w:t>
      </w:r>
      <w:r w:rsidRPr="00B52DE0">
        <w:rPr>
          <w:rFonts w:ascii="仿宋_GB2312" w:eastAsia="仿宋_GB2312" w:hint="eastAsia"/>
          <w:b/>
          <w:sz w:val="32"/>
          <w:szCs w:val="32"/>
        </w:rPr>
        <w:t>功能</w:t>
      </w:r>
      <w:r w:rsidR="00054947">
        <w:rPr>
          <w:rFonts w:ascii="仿宋_GB2312" w:eastAsia="仿宋_GB2312" w:hint="eastAsia"/>
          <w:b/>
          <w:sz w:val="32"/>
          <w:szCs w:val="32"/>
        </w:rPr>
        <w:t>提升完善</w:t>
      </w:r>
    </w:p>
    <w:p w:rsidR="00B52DE0" w:rsidRPr="00B52DE0" w:rsidRDefault="00371DF9"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对</w:t>
      </w:r>
      <w:r w:rsidR="00B52DE0" w:rsidRPr="00B52DE0">
        <w:rPr>
          <w:rFonts w:ascii="仿宋_GB2312" w:eastAsia="仿宋_GB2312" w:hint="eastAsia"/>
          <w:sz w:val="32"/>
          <w:szCs w:val="32"/>
        </w:rPr>
        <w:t>智能电网调度优化运行与控制核心</w:t>
      </w:r>
      <w:r w:rsidRPr="00B52DE0">
        <w:rPr>
          <w:rFonts w:ascii="仿宋_GB2312" w:eastAsia="仿宋_GB2312" w:hint="eastAsia"/>
          <w:sz w:val="32"/>
          <w:szCs w:val="32"/>
        </w:rPr>
        <w:t>功能进行</w:t>
      </w:r>
      <w:r w:rsidR="00054947">
        <w:rPr>
          <w:rFonts w:ascii="仿宋_GB2312" w:eastAsia="仿宋_GB2312" w:hint="eastAsia"/>
          <w:sz w:val="32"/>
          <w:szCs w:val="32"/>
        </w:rPr>
        <w:t>提升完善</w:t>
      </w:r>
      <w:r w:rsidRPr="00B52DE0">
        <w:rPr>
          <w:rFonts w:ascii="仿宋_GB2312" w:eastAsia="仿宋_GB2312" w:hint="eastAsia"/>
          <w:sz w:val="32"/>
          <w:szCs w:val="32"/>
        </w:rPr>
        <w:t>，主要包括对</w:t>
      </w:r>
      <w:r w:rsidR="00B52DE0" w:rsidRPr="00B52DE0">
        <w:rPr>
          <w:rFonts w:ascii="仿宋_GB2312" w:eastAsia="仿宋_GB2312" w:hint="eastAsia"/>
          <w:sz w:val="32"/>
          <w:szCs w:val="32"/>
        </w:rPr>
        <w:t>电网新能源预测不确定性带来的备用需求分析、备用</w:t>
      </w:r>
      <w:r w:rsidR="00054947">
        <w:rPr>
          <w:rFonts w:ascii="仿宋_GB2312" w:eastAsia="仿宋_GB2312" w:hint="eastAsia"/>
          <w:sz w:val="32"/>
          <w:szCs w:val="32"/>
        </w:rPr>
        <w:t>容量</w:t>
      </w:r>
      <w:r w:rsidR="00B52DE0" w:rsidRPr="00B52DE0">
        <w:rPr>
          <w:rFonts w:ascii="仿宋_GB2312" w:eastAsia="仿宋_GB2312" w:hint="eastAsia"/>
          <w:sz w:val="32"/>
          <w:szCs w:val="32"/>
        </w:rPr>
        <w:t>在线转移技术、</w:t>
      </w:r>
      <w:r w:rsidRPr="00B52DE0">
        <w:rPr>
          <w:rFonts w:ascii="仿宋_GB2312" w:eastAsia="仿宋_GB2312" w:hint="eastAsia"/>
          <w:sz w:val="32"/>
          <w:szCs w:val="32"/>
        </w:rPr>
        <w:t>新能源消纳的量化分析评估技术、考虑间歇能源的日前、实时、AGC多周期协调优化与闭环控制模型与算法研究。</w:t>
      </w:r>
    </w:p>
    <w:p w:rsidR="00B52DE0" w:rsidRPr="00B52DE0" w:rsidRDefault="00B52DE0"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针对全球清洁能源替代的趋势，研究基于安全约束机组组合（SCUC）和安全约束经济调度（SCED）优化模型和算法，在风电、光伏等间歇性新能源功率预测结果基础上，考虑电网节能、发电/购电成本、新能源消纳等多种优化目标和电网安全运行要求，根据不同机组的运行成本和特性条件，针对风电光伏电源发电不确定性特点，综合优化燃煤、燃油、燃气火电机组、水电、风电、光伏、储热、电池储能、抽水蓄能等不同类型机组的多元能源发电计划，实现电网安全经济运行，该技术领域部分研究成果通过了中国电机工程学会等单位鉴定，继续保持国际领先水平。</w:t>
      </w:r>
    </w:p>
    <w:p w:rsidR="00B52DE0" w:rsidRPr="00B52DE0" w:rsidRDefault="00054947"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Pr>
          <w:rFonts w:ascii="仿宋_GB2312" w:eastAsia="仿宋_GB2312" w:hint="eastAsia"/>
          <w:sz w:val="32"/>
          <w:szCs w:val="32"/>
        </w:rPr>
        <w:t>同时，</w:t>
      </w:r>
      <w:r w:rsidR="00B52DE0" w:rsidRPr="00B52DE0">
        <w:rPr>
          <w:rFonts w:ascii="仿宋_GB2312" w:eastAsia="仿宋_GB2312" w:hint="eastAsia"/>
          <w:sz w:val="32"/>
          <w:szCs w:val="32"/>
        </w:rPr>
        <w:t>南瑞在电网实时监视与自动发电控制领域</w:t>
      </w:r>
      <w:r w:rsidRPr="00B52DE0">
        <w:rPr>
          <w:rFonts w:ascii="仿宋_GB2312" w:eastAsia="仿宋_GB2312" w:hint="eastAsia"/>
          <w:sz w:val="32"/>
          <w:szCs w:val="32"/>
        </w:rPr>
        <w:t>研究成果多次获得省部级以上科技进步奖，</w:t>
      </w:r>
      <w:r>
        <w:rPr>
          <w:rFonts w:ascii="仿宋_GB2312" w:eastAsia="仿宋_GB2312" w:hint="eastAsia"/>
          <w:sz w:val="32"/>
          <w:szCs w:val="32"/>
        </w:rPr>
        <w:t>且</w:t>
      </w:r>
      <w:r w:rsidR="00B52DE0" w:rsidRPr="00B52DE0">
        <w:rPr>
          <w:rFonts w:ascii="仿宋_GB2312" w:eastAsia="仿宋_GB2312" w:hint="eastAsia"/>
          <w:sz w:val="32"/>
          <w:szCs w:val="32"/>
        </w:rPr>
        <w:t>具有一定国际实施经验，达到国际领先水平。依托南瑞几十年的技术积累和工程实施经验优势，建立考虑间歇能源的日前、实时多周期协调优化与实时自动发电控制（AGC）的闭环控制机制，通过日前、实时发电计划优化模型滚动递进和AGC控制信息双向交互，研究电网实时调节备用在线动态转移技术，多场景的间歇能源接纳成效动态优化分析技术，实现常规能源与间歇能源的协调运行，提高</w:t>
      </w:r>
      <w:r>
        <w:rPr>
          <w:rFonts w:ascii="仿宋_GB2312" w:eastAsia="仿宋_GB2312" w:hint="eastAsia"/>
          <w:sz w:val="32"/>
          <w:szCs w:val="32"/>
        </w:rPr>
        <w:t>智能电网对</w:t>
      </w:r>
      <w:r w:rsidR="00B52DE0" w:rsidRPr="00B52DE0">
        <w:rPr>
          <w:rFonts w:ascii="仿宋_GB2312" w:eastAsia="仿宋_GB2312" w:hint="eastAsia"/>
          <w:sz w:val="32"/>
          <w:szCs w:val="32"/>
        </w:rPr>
        <w:t>间歇能源波动的消纳能力。</w:t>
      </w:r>
    </w:p>
    <w:p w:rsidR="00B52DE0" w:rsidRPr="00B52DE0" w:rsidRDefault="00371DF9" w:rsidP="00054947">
      <w:pPr>
        <w:pStyle w:val="a4"/>
        <w:overflowPunct w:val="0"/>
        <w:snapToGrid w:val="0"/>
        <w:spacing w:before="86" w:beforeAutospacing="0" w:after="0" w:afterAutospacing="0"/>
        <w:ind w:firstLineChars="200" w:firstLine="643"/>
        <w:jc w:val="both"/>
        <w:textAlignment w:val="baseline"/>
        <w:rPr>
          <w:rFonts w:ascii="仿宋_GB2312" w:eastAsia="仿宋_GB2312"/>
          <w:b/>
          <w:sz w:val="32"/>
          <w:szCs w:val="32"/>
        </w:rPr>
      </w:pPr>
      <w:r w:rsidRPr="00B52DE0">
        <w:rPr>
          <w:rFonts w:ascii="仿宋_GB2312" w:eastAsia="仿宋_GB2312" w:hint="eastAsia"/>
          <w:b/>
          <w:sz w:val="32"/>
          <w:szCs w:val="32"/>
        </w:rPr>
        <w:t>（3</w:t>
      </w:r>
      <w:r w:rsidR="00B52DE0" w:rsidRPr="00B52DE0">
        <w:rPr>
          <w:rFonts w:ascii="仿宋_GB2312" w:eastAsia="仿宋_GB2312" w:hint="eastAsia"/>
          <w:b/>
          <w:sz w:val="32"/>
          <w:szCs w:val="32"/>
        </w:rPr>
        <w:t>）国际交流演示系统和示范推广应用</w:t>
      </w:r>
    </w:p>
    <w:p w:rsidR="00B52DE0" w:rsidRPr="00B52DE0" w:rsidRDefault="00371DF9"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lastRenderedPageBreak/>
        <w:t>积极参与国际标准化组织，参与国际交流及产品展示会，搭建便携交流演示系统，对目标</w:t>
      </w:r>
      <w:r w:rsidR="00B52DE0" w:rsidRPr="00B52DE0">
        <w:rPr>
          <w:rFonts w:ascii="仿宋_GB2312" w:eastAsia="仿宋_GB2312" w:hint="eastAsia"/>
          <w:sz w:val="32"/>
          <w:szCs w:val="32"/>
        </w:rPr>
        <w:t>系列</w:t>
      </w:r>
      <w:r w:rsidRPr="00B52DE0">
        <w:rPr>
          <w:rFonts w:ascii="仿宋_GB2312" w:eastAsia="仿宋_GB2312" w:hint="eastAsia"/>
          <w:sz w:val="32"/>
          <w:szCs w:val="32"/>
        </w:rPr>
        <w:t>产品进行国际推广。</w:t>
      </w:r>
    </w:p>
    <w:p w:rsidR="00371DF9" w:rsidRPr="00B52DE0" w:rsidRDefault="00B52DE0"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基于智能电网调度技术支持系统基础平台，结合国际合作项目对象业务需求，研发</w:t>
      </w:r>
      <w:r w:rsidR="00054947" w:rsidRPr="00B52DE0">
        <w:rPr>
          <w:rFonts w:ascii="仿宋_GB2312" w:eastAsia="仿宋_GB2312" w:hint="eastAsia"/>
          <w:sz w:val="32"/>
          <w:szCs w:val="32"/>
        </w:rPr>
        <w:t>智能电网调度优化运行与控制系统</w:t>
      </w:r>
      <w:r w:rsidRPr="00B52DE0">
        <w:rPr>
          <w:rFonts w:ascii="仿宋_GB2312" w:eastAsia="仿宋_GB2312" w:hint="eastAsia"/>
          <w:sz w:val="32"/>
          <w:szCs w:val="32"/>
        </w:rPr>
        <w:t>，并首次实现该领域应用软件在海外大规模电网的工程应用，潜在客户包括肯尼亚、巴西、菲律宾等国家和地区。</w:t>
      </w:r>
    </w:p>
    <w:p w:rsidR="00371DF9" w:rsidRPr="00B52DE0" w:rsidRDefault="00371DF9" w:rsidP="00054947">
      <w:pPr>
        <w:pStyle w:val="a3"/>
        <w:numPr>
          <w:ilvl w:val="0"/>
          <w:numId w:val="3"/>
        </w:numPr>
        <w:spacing w:beforeLines="100" w:afterLines="50"/>
        <w:ind w:firstLineChars="0"/>
        <w:jc w:val="both"/>
        <w:rPr>
          <w:rFonts w:ascii="仿宋_GB2312" w:eastAsia="仿宋_GB2312"/>
          <w:b/>
          <w:sz w:val="32"/>
          <w:szCs w:val="32"/>
        </w:rPr>
      </w:pPr>
      <w:r w:rsidRPr="00B52DE0">
        <w:rPr>
          <w:rFonts w:ascii="仿宋_GB2312" w:eastAsia="仿宋_GB2312" w:hint="eastAsia"/>
          <w:b/>
          <w:sz w:val="32"/>
          <w:szCs w:val="32"/>
        </w:rPr>
        <w:t>考核指标</w:t>
      </w:r>
    </w:p>
    <w:p w:rsidR="00B52DE0" w:rsidRPr="00B52DE0" w:rsidRDefault="00371DF9"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1）软件指标</w:t>
      </w:r>
    </w:p>
    <w:p w:rsidR="00371DF9" w:rsidRPr="00B52DE0" w:rsidRDefault="00371DF9"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完成核心功能软件的国际化改造及相关功能升级，</w:t>
      </w:r>
      <w:r w:rsidR="00054947">
        <w:rPr>
          <w:rFonts w:ascii="仿宋_GB2312" w:eastAsia="仿宋_GB2312" w:hint="eastAsia"/>
          <w:sz w:val="32"/>
          <w:szCs w:val="32"/>
        </w:rPr>
        <w:t>完成</w:t>
      </w:r>
      <w:r w:rsidRPr="00B52DE0">
        <w:rPr>
          <w:rFonts w:ascii="仿宋_GB2312" w:eastAsia="仿宋_GB2312" w:hint="eastAsia"/>
          <w:sz w:val="32"/>
          <w:szCs w:val="32"/>
        </w:rPr>
        <w:t>国际</w:t>
      </w:r>
      <w:r w:rsidR="00054947">
        <w:rPr>
          <w:rFonts w:ascii="仿宋_GB2312" w:eastAsia="仿宋_GB2312" w:hint="eastAsia"/>
          <w:sz w:val="32"/>
          <w:szCs w:val="32"/>
        </w:rPr>
        <w:t>化</w:t>
      </w:r>
      <w:r w:rsidRPr="00B52DE0">
        <w:rPr>
          <w:rFonts w:ascii="仿宋_GB2312" w:eastAsia="仿宋_GB2312" w:hint="eastAsia"/>
          <w:sz w:val="32"/>
          <w:szCs w:val="32"/>
        </w:rPr>
        <w:t>软件</w:t>
      </w:r>
      <w:r w:rsidR="00054947">
        <w:rPr>
          <w:rFonts w:ascii="仿宋_GB2312" w:eastAsia="仿宋_GB2312" w:hint="eastAsia"/>
          <w:sz w:val="32"/>
          <w:szCs w:val="32"/>
        </w:rPr>
        <w:t>的</w:t>
      </w:r>
      <w:r w:rsidRPr="00B52DE0">
        <w:rPr>
          <w:rFonts w:ascii="仿宋_GB2312" w:eastAsia="仿宋_GB2312" w:hint="eastAsia"/>
          <w:sz w:val="32"/>
          <w:szCs w:val="32"/>
        </w:rPr>
        <w:t>著作权登记。</w:t>
      </w:r>
    </w:p>
    <w:p w:rsidR="00B52DE0" w:rsidRPr="00B52DE0" w:rsidRDefault="00371DF9"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2）专利指标</w:t>
      </w:r>
    </w:p>
    <w:p w:rsidR="00371DF9" w:rsidRPr="00B52DE0" w:rsidRDefault="00371DF9"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核心专利技术完成国际专利PCT检索，实现国际化布局5项以上。</w:t>
      </w:r>
    </w:p>
    <w:p w:rsidR="00B52DE0" w:rsidRPr="00B52DE0" w:rsidRDefault="00371DF9"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3）技术交流指标</w:t>
      </w:r>
    </w:p>
    <w:p w:rsidR="00371DF9" w:rsidRPr="00B52DE0" w:rsidRDefault="00371DF9"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参加国际影响的高水平成果展示2次以上。</w:t>
      </w:r>
    </w:p>
    <w:p w:rsidR="00B52DE0" w:rsidRPr="00B52DE0" w:rsidRDefault="00371DF9"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4）示范应用</w:t>
      </w:r>
    </w:p>
    <w:p w:rsidR="00371DF9" w:rsidRPr="00B52DE0" w:rsidRDefault="00371DF9" w:rsidP="00054947">
      <w:pPr>
        <w:pStyle w:val="a4"/>
        <w:overflowPunct w:val="0"/>
        <w:snapToGrid w:val="0"/>
        <w:spacing w:before="86" w:beforeAutospacing="0" w:after="0" w:afterAutospacing="0"/>
        <w:ind w:firstLineChars="200" w:firstLine="640"/>
        <w:jc w:val="both"/>
        <w:textAlignment w:val="baseline"/>
        <w:rPr>
          <w:rFonts w:ascii="仿宋_GB2312" w:eastAsia="仿宋_GB2312"/>
          <w:sz w:val="32"/>
          <w:szCs w:val="32"/>
        </w:rPr>
      </w:pPr>
      <w:r w:rsidRPr="00B52DE0">
        <w:rPr>
          <w:rFonts w:ascii="仿宋_GB2312" w:eastAsia="仿宋_GB2312" w:hint="eastAsia"/>
          <w:sz w:val="32"/>
          <w:szCs w:val="32"/>
        </w:rPr>
        <w:t>成果</w:t>
      </w:r>
      <w:r w:rsidR="00831ED4" w:rsidRPr="00B52DE0">
        <w:rPr>
          <w:rFonts w:ascii="仿宋_GB2312" w:eastAsia="仿宋_GB2312" w:hint="eastAsia"/>
          <w:sz w:val="32"/>
          <w:szCs w:val="32"/>
        </w:rPr>
        <w:t>三年</w:t>
      </w:r>
      <w:r w:rsidRPr="00B52DE0">
        <w:rPr>
          <w:rFonts w:ascii="仿宋_GB2312" w:eastAsia="仿宋_GB2312" w:hint="eastAsia"/>
          <w:sz w:val="32"/>
          <w:szCs w:val="32"/>
        </w:rPr>
        <w:t>培育期内，完成</w:t>
      </w:r>
      <w:r w:rsidR="00831ED4" w:rsidRPr="00B52DE0">
        <w:rPr>
          <w:rFonts w:ascii="仿宋_GB2312" w:eastAsia="仿宋_GB2312" w:hint="eastAsia"/>
          <w:sz w:val="32"/>
          <w:szCs w:val="32"/>
        </w:rPr>
        <w:t>首套</w:t>
      </w:r>
      <w:r w:rsidR="00B52DE0" w:rsidRPr="00B52DE0">
        <w:rPr>
          <w:rFonts w:ascii="仿宋_GB2312" w:eastAsia="仿宋_GB2312" w:hint="eastAsia"/>
          <w:sz w:val="32"/>
          <w:szCs w:val="32"/>
        </w:rPr>
        <w:t>智能电网调度优化运行与控制</w:t>
      </w:r>
      <w:r w:rsidR="00054947">
        <w:rPr>
          <w:rFonts w:ascii="仿宋_GB2312" w:eastAsia="仿宋_GB2312" w:hint="eastAsia"/>
          <w:sz w:val="32"/>
          <w:szCs w:val="32"/>
        </w:rPr>
        <w:t>类</w:t>
      </w:r>
      <w:r w:rsidR="00B52DE0" w:rsidRPr="00B52DE0">
        <w:rPr>
          <w:rFonts w:ascii="仿宋_GB2312" w:eastAsia="仿宋_GB2312" w:hint="eastAsia"/>
          <w:sz w:val="32"/>
          <w:szCs w:val="32"/>
        </w:rPr>
        <w:t>应用软件</w:t>
      </w:r>
      <w:r w:rsidRPr="00B52DE0">
        <w:rPr>
          <w:rFonts w:ascii="仿宋_GB2312" w:eastAsia="仿宋_GB2312" w:hint="eastAsia"/>
          <w:sz w:val="32"/>
          <w:szCs w:val="32"/>
        </w:rPr>
        <w:t>国际化项目</w:t>
      </w:r>
      <w:r w:rsidR="00B52DE0" w:rsidRPr="00B52DE0">
        <w:rPr>
          <w:rFonts w:ascii="仿宋_GB2312" w:eastAsia="仿宋_GB2312" w:hint="eastAsia"/>
          <w:sz w:val="32"/>
          <w:szCs w:val="32"/>
        </w:rPr>
        <w:t>的</w:t>
      </w:r>
      <w:r w:rsidRPr="00B52DE0">
        <w:rPr>
          <w:rFonts w:ascii="仿宋_GB2312" w:eastAsia="仿宋_GB2312" w:hint="eastAsia"/>
          <w:sz w:val="32"/>
          <w:szCs w:val="32"/>
        </w:rPr>
        <w:t>示范应用，</w:t>
      </w:r>
      <w:r w:rsidR="00054947">
        <w:rPr>
          <w:rFonts w:ascii="仿宋_GB2312" w:eastAsia="仿宋_GB2312" w:hint="eastAsia"/>
          <w:sz w:val="32"/>
          <w:szCs w:val="32"/>
        </w:rPr>
        <w:t>累计软件合同销售达到8000万以上，</w:t>
      </w:r>
      <w:r w:rsidRPr="00B52DE0">
        <w:rPr>
          <w:rFonts w:ascii="仿宋_GB2312" w:eastAsia="仿宋_GB2312" w:hint="eastAsia"/>
          <w:sz w:val="32"/>
          <w:szCs w:val="32"/>
        </w:rPr>
        <w:t>随着国家电网公司的海外战略布局，</w:t>
      </w:r>
      <w:r w:rsidR="00054947">
        <w:rPr>
          <w:rFonts w:ascii="仿宋_GB2312" w:eastAsia="仿宋_GB2312" w:hint="eastAsia"/>
          <w:sz w:val="32"/>
          <w:szCs w:val="32"/>
        </w:rPr>
        <w:t>系列软件</w:t>
      </w:r>
      <w:r w:rsidRPr="00B52DE0">
        <w:rPr>
          <w:rFonts w:ascii="仿宋_GB2312" w:eastAsia="仿宋_GB2312" w:hint="eastAsia"/>
          <w:sz w:val="32"/>
          <w:szCs w:val="32"/>
        </w:rPr>
        <w:t>将应用到更多国家和地区。</w:t>
      </w:r>
    </w:p>
    <w:sectPr w:rsidR="00371DF9" w:rsidRPr="00B52DE0"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3ECC" w:rsidRDefault="003E3ECC" w:rsidP="00171821">
      <w:pPr>
        <w:spacing w:after="0"/>
      </w:pPr>
      <w:r>
        <w:separator/>
      </w:r>
    </w:p>
  </w:endnote>
  <w:endnote w:type="continuationSeparator" w:id="1">
    <w:p w:rsidR="003E3ECC" w:rsidRDefault="003E3ECC" w:rsidP="0017182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3ECC" w:rsidRDefault="003E3ECC" w:rsidP="00171821">
      <w:pPr>
        <w:spacing w:after="0"/>
      </w:pPr>
      <w:r>
        <w:separator/>
      </w:r>
    </w:p>
  </w:footnote>
  <w:footnote w:type="continuationSeparator" w:id="1">
    <w:p w:rsidR="003E3ECC" w:rsidRDefault="003E3ECC" w:rsidP="0017182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85190"/>
    <w:multiLevelType w:val="multilevel"/>
    <w:tmpl w:val="0409001D"/>
    <w:lvl w:ilvl="0">
      <w:start w:val="1"/>
      <w:numFmt w:val="decimal"/>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1">
    <w:nsid w:val="22A01149"/>
    <w:multiLevelType w:val="multilevel"/>
    <w:tmpl w:val="29643C92"/>
    <w:lvl w:ilvl="0">
      <w:start w:val="1"/>
      <w:numFmt w:val="decimal"/>
      <w:lvlText w:val="%1."/>
      <w:lvlJc w:val="left"/>
      <w:pPr>
        <w:ind w:left="360" w:hanging="360"/>
      </w:pPr>
      <w:rPr>
        <w:rFonts w:cs="Times New Roman" w:hint="eastAsia"/>
        <w:sz w:val="28"/>
        <w:u w:val="single"/>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
    <w:nsid w:val="239531A1"/>
    <w:multiLevelType w:val="hybridMultilevel"/>
    <w:tmpl w:val="63C867BC"/>
    <w:lvl w:ilvl="0" w:tplc="A3E879DA">
      <w:start w:val="1"/>
      <w:numFmt w:val="decimal"/>
      <w:lvlText w:val="%1."/>
      <w:lvlJc w:val="left"/>
      <w:pPr>
        <w:ind w:left="420" w:hanging="420"/>
      </w:pPr>
      <w:rPr>
        <w:rFonts w:cs="Times New Roman" w:hint="eastAsia"/>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2A2468E2"/>
    <w:multiLevelType w:val="multilevel"/>
    <w:tmpl w:val="A04E3E72"/>
    <w:lvl w:ilvl="0">
      <w:start w:val="1"/>
      <w:numFmt w:val="decimal"/>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4">
    <w:nsid w:val="2EE12857"/>
    <w:multiLevelType w:val="multilevel"/>
    <w:tmpl w:val="DF704C24"/>
    <w:lvl w:ilvl="0">
      <w:start w:val="1"/>
      <w:numFmt w:val="decimal"/>
      <w:lvlText w:val="%1)"/>
      <w:lvlJc w:val="left"/>
      <w:pPr>
        <w:ind w:left="425" w:hanging="425"/>
      </w:pPr>
      <w:rPr>
        <w:rFonts w:cs="Times New Roman" w:hint="eastAsia"/>
      </w:rPr>
    </w:lvl>
    <w:lvl w:ilvl="1">
      <w:start w:val="1"/>
      <w:numFmt w:val="decimal"/>
      <w:lvlText w:val="%1.%2"/>
      <w:lvlJc w:val="left"/>
      <w:pPr>
        <w:ind w:left="992" w:hanging="567"/>
      </w:pPr>
      <w:rPr>
        <w:rFonts w:cs="Times New Roman" w:hint="eastAsia"/>
      </w:rPr>
    </w:lvl>
    <w:lvl w:ilvl="2">
      <w:start w:val="1"/>
      <w:numFmt w:val="decimal"/>
      <w:lvlText w:val="%1.%2.%3"/>
      <w:lvlJc w:val="left"/>
      <w:pPr>
        <w:ind w:left="1418" w:hanging="567"/>
      </w:pPr>
      <w:rPr>
        <w:rFonts w:cs="Times New Roman" w:hint="eastAsia"/>
      </w:rPr>
    </w:lvl>
    <w:lvl w:ilvl="3">
      <w:start w:val="1"/>
      <w:numFmt w:val="decimal"/>
      <w:lvlText w:val="%1.%2.%3.%4"/>
      <w:lvlJc w:val="left"/>
      <w:pPr>
        <w:ind w:left="1984" w:hanging="708"/>
      </w:pPr>
      <w:rPr>
        <w:rFonts w:cs="Times New Roman" w:hint="eastAsia"/>
      </w:rPr>
    </w:lvl>
    <w:lvl w:ilvl="4">
      <w:start w:val="1"/>
      <w:numFmt w:val="decimal"/>
      <w:lvlText w:val="%1.%2.%3.%4.%5"/>
      <w:lvlJc w:val="left"/>
      <w:pPr>
        <w:ind w:left="2551" w:hanging="850"/>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5">
    <w:nsid w:val="348D332B"/>
    <w:multiLevelType w:val="hybridMultilevel"/>
    <w:tmpl w:val="46D4B976"/>
    <w:lvl w:ilvl="0" w:tplc="F43EA22E">
      <w:start w:val="1"/>
      <w:numFmt w:val="decimal"/>
      <w:lvlText w:val="（%1）"/>
      <w:lvlJc w:val="left"/>
      <w:pPr>
        <w:ind w:left="1820" w:hanging="126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6">
    <w:nsid w:val="48994848"/>
    <w:multiLevelType w:val="multilevel"/>
    <w:tmpl w:val="DF704C24"/>
    <w:lvl w:ilvl="0">
      <w:start w:val="1"/>
      <w:numFmt w:val="decimal"/>
      <w:lvlText w:val="%1)"/>
      <w:lvlJc w:val="left"/>
      <w:pPr>
        <w:ind w:left="425" w:hanging="425"/>
      </w:pPr>
      <w:rPr>
        <w:rFonts w:cs="Times New Roman" w:hint="eastAsia"/>
      </w:rPr>
    </w:lvl>
    <w:lvl w:ilvl="1">
      <w:start w:val="1"/>
      <w:numFmt w:val="decimal"/>
      <w:lvlText w:val="%1.%2"/>
      <w:lvlJc w:val="left"/>
      <w:pPr>
        <w:ind w:left="992" w:hanging="567"/>
      </w:pPr>
      <w:rPr>
        <w:rFonts w:cs="Times New Roman" w:hint="eastAsia"/>
      </w:rPr>
    </w:lvl>
    <w:lvl w:ilvl="2">
      <w:start w:val="1"/>
      <w:numFmt w:val="decimal"/>
      <w:lvlText w:val="%1.%2.%3"/>
      <w:lvlJc w:val="left"/>
      <w:pPr>
        <w:ind w:left="1418" w:hanging="567"/>
      </w:pPr>
      <w:rPr>
        <w:rFonts w:cs="Times New Roman" w:hint="eastAsia"/>
      </w:rPr>
    </w:lvl>
    <w:lvl w:ilvl="3">
      <w:start w:val="1"/>
      <w:numFmt w:val="decimal"/>
      <w:lvlText w:val="%1.%2.%3.%4"/>
      <w:lvlJc w:val="left"/>
      <w:pPr>
        <w:ind w:left="1984" w:hanging="708"/>
      </w:pPr>
      <w:rPr>
        <w:rFonts w:cs="Times New Roman" w:hint="eastAsia"/>
      </w:rPr>
    </w:lvl>
    <w:lvl w:ilvl="4">
      <w:start w:val="1"/>
      <w:numFmt w:val="decimal"/>
      <w:lvlText w:val="%1.%2.%3.%4.%5"/>
      <w:lvlJc w:val="left"/>
      <w:pPr>
        <w:ind w:left="2551" w:hanging="850"/>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7">
    <w:nsid w:val="5D902962"/>
    <w:multiLevelType w:val="multilevel"/>
    <w:tmpl w:val="DE5E7B3E"/>
    <w:lvl w:ilvl="0">
      <w:start w:val="1"/>
      <w:numFmt w:val="decimal"/>
      <w:lvlText w:val="%1."/>
      <w:lvlJc w:val="left"/>
      <w:pPr>
        <w:ind w:left="360" w:hanging="360"/>
      </w:pPr>
      <w:rPr>
        <w:rFonts w:ascii="宋体" w:cs="Times New Roman" w:hint="default"/>
        <w:sz w:val="28"/>
        <w:u w:val="single"/>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7F692E67"/>
    <w:multiLevelType w:val="multilevel"/>
    <w:tmpl w:val="A04E3E72"/>
    <w:lvl w:ilvl="0">
      <w:start w:val="1"/>
      <w:numFmt w:val="decimal"/>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num w:numId="1">
    <w:abstractNumId w:val="7"/>
  </w:num>
  <w:num w:numId="2">
    <w:abstractNumId w:val="1"/>
  </w:num>
  <w:num w:numId="3">
    <w:abstractNumId w:val="2"/>
  </w:num>
  <w:num w:numId="4">
    <w:abstractNumId w:val="0"/>
  </w:num>
  <w:num w:numId="5">
    <w:abstractNumId w:val="8"/>
  </w:num>
  <w:num w:numId="6">
    <w:abstractNumId w:val="4"/>
  </w:num>
  <w:num w:numId="7">
    <w:abstractNumId w:val="6"/>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720"/>
  <w:characterSpacingControl w:val="doNotCompress"/>
  <w:noLineBreaksAfter w:lang="zh-CN" w:val="$([{£¥·‘“〈《「『【〔〖〝﹙﹛﹝＄（．［｛￡￥"/>
  <w:noLineBreaksBefore w:lang="zh-CN" w:val="!%),.:;&gt;?]}¢¨°·ˇˉ―‖’”…‰′″›℃∶、。〃〉》」』】〕〗〞︶︺︾﹀﹄﹚﹜﹞！＂％＇），．：；？］｀｜｝～￠"/>
  <w:hdrShapeDefaults>
    <o:shapedefaults v:ext="edit" spidmax="7170"/>
  </w:hdrShapeDefaults>
  <w:footnotePr>
    <w:footnote w:id="0"/>
    <w:footnote w:id="1"/>
  </w:footnotePr>
  <w:endnotePr>
    <w:endnote w:id="0"/>
    <w:endnote w:id="1"/>
  </w:endnotePr>
  <w:compat>
    <w:useFELayout/>
  </w:compat>
  <w:rsids>
    <w:rsidRoot w:val="00F97251"/>
    <w:rsid w:val="00052B84"/>
    <w:rsid w:val="00054947"/>
    <w:rsid w:val="00171821"/>
    <w:rsid w:val="001F0D17"/>
    <w:rsid w:val="002150CE"/>
    <w:rsid w:val="002D1DB9"/>
    <w:rsid w:val="00323B43"/>
    <w:rsid w:val="003453B9"/>
    <w:rsid w:val="0035797F"/>
    <w:rsid w:val="00371DF9"/>
    <w:rsid w:val="003D37D8"/>
    <w:rsid w:val="003E3ECC"/>
    <w:rsid w:val="004358AB"/>
    <w:rsid w:val="004A27F3"/>
    <w:rsid w:val="004E4BDD"/>
    <w:rsid w:val="005454D6"/>
    <w:rsid w:val="00570AF0"/>
    <w:rsid w:val="00762FB6"/>
    <w:rsid w:val="00807FF5"/>
    <w:rsid w:val="00831ED4"/>
    <w:rsid w:val="008B7726"/>
    <w:rsid w:val="00975F4E"/>
    <w:rsid w:val="009D579B"/>
    <w:rsid w:val="009F52F5"/>
    <w:rsid w:val="00A23784"/>
    <w:rsid w:val="00B52DE0"/>
    <w:rsid w:val="00C97EFE"/>
    <w:rsid w:val="00CF4917"/>
    <w:rsid w:val="00D5529B"/>
    <w:rsid w:val="00DC41B0"/>
    <w:rsid w:val="00DE2603"/>
    <w:rsid w:val="00E04771"/>
    <w:rsid w:val="00E248B6"/>
    <w:rsid w:val="00E24C56"/>
    <w:rsid w:val="00EA14DF"/>
    <w:rsid w:val="00F626DC"/>
    <w:rsid w:val="00F96A3D"/>
    <w:rsid w:val="00F972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after="200"/>
    </w:pPr>
    <w:rPr>
      <w:rFonts w:ascii="Tahoma"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97251"/>
    <w:pPr>
      <w:ind w:firstLineChars="200" w:firstLine="420"/>
    </w:pPr>
  </w:style>
  <w:style w:type="paragraph" w:styleId="a4">
    <w:name w:val="Normal (Web)"/>
    <w:basedOn w:val="a"/>
    <w:uiPriority w:val="99"/>
    <w:rsid w:val="00F97251"/>
    <w:pPr>
      <w:adjustRightInd/>
      <w:snapToGrid/>
      <w:spacing w:before="100" w:beforeAutospacing="1" w:after="100" w:afterAutospacing="1"/>
    </w:pPr>
    <w:rPr>
      <w:rFonts w:ascii="宋体" w:eastAsia="宋体" w:hAnsi="宋体" w:cs="宋体"/>
      <w:sz w:val="24"/>
      <w:szCs w:val="24"/>
    </w:rPr>
  </w:style>
  <w:style w:type="paragraph" w:styleId="a5">
    <w:name w:val="header"/>
    <w:basedOn w:val="a"/>
    <w:link w:val="Char"/>
    <w:uiPriority w:val="99"/>
    <w:semiHidden/>
    <w:rsid w:val="0017182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locked/>
    <w:rsid w:val="00171821"/>
    <w:rPr>
      <w:rFonts w:ascii="Tahoma" w:hAnsi="Tahoma" w:cs="Times New Roman"/>
      <w:sz w:val="18"/>
      <w:szCs w:val="18"/>
    </w:rPr>
  </w:style>
  <w:style w:type="paragraph" w:styleId="a6">
    <w:name w:val="footer"/>
    <w:basedOn w:val="a"/>
    <w:link w:val="Char0"/>
    <w:uiPriority w:val="99"/>
    <w:semiHidden/>
    <w:rsid w:val="00171821"/>
    <w:pPr>
      <w:tabs>
        <w:tab w:val="center" w:pos="4153"/>
        <w:tab w:val="right" w:pos="8306"/>
      </w:tabs>
    </w:pPr>
    <w:rPr>
      <w:sz w:val="18"/>
      <w:szCs w:val="18"/>
    </w:rPr>
  </w:style>
  <w:style w:type="character" w:customStyle="1" w:styleId="Char0">
    <w:name w:val="页脚 Char"/>
    <w:basedOn w:val="a0"/>
    <w:link w:val="a6"/>
    <w:uiPriority w:val="99"/>
    <w:semiHidden/>
    <w:locked/>
    <w:rsid w:val="00171821"/>
    <w:rPr>
      <w:rFonts w:ascii="Tahoma" w:hAnsi="Tahoma"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622FE-1CBF-43E9-AF79-A239FFF1C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4</Pages>
  <Words>341</Words>
  <Characters>1949</Characters>
  <Application>Microsoft Office Word</Application>
  <DocSecurity>0</DocSecurity>
  <Lines>16</Lines>
  <Paragraphs>4</Paragraphs>
  <ScaleCrop>false</ScaleCrop>
  <Company>Microsoft</Company>
  <LinksUpToDate>false</LinksUpToDate>
  <CharactersWithSpaces>2286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Q.Ding</dc:creator>
  <cp:lastModifiedBy>Q.Ding</cp:lastModifiedBy>
  <cp:revision>5</cp:revision>
  <dcterms:created xsi:type="dcterms:W3CDTF">2015-12-24T05:28:00Z</dcterms:created>
  <dcterms:modified xsi:type="dcterms:W3CDTF">2016-02-01T05:17:00Z</dcterms:modified>
</cp:coreProperties>
</file>